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3710" w14:textId="77777777" w:rsidR="00C1198A" w:rsidRDefault="00C1198A" w:rsidP="00C1198A">
      <w:pPr>
        <w:jc w:val="center"/>
      </w:pPr>
      <w:r>
        <w:rPr>
          <w:noProof/>
          <w:lang w:eastAsia="en-GB"/>
        </w:rPr>
        <w:drawing>
          <wp:inline distT="0" distB="0" distL="0" distR="0" wp14:anchorId="08187765" wp14:editId="273A2DCF">
            <wp:extent cx="1805503" cy="70913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4" cy="71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02E92" w14:textId="06EFE9F9" w:rsidR="00FC75B7" w:rsidRDefault="00FC75B7" w:rsidP="00FC7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Seckford Education Trust Pupil Premium Overview for 2019-20</w:t>
      </w:r>
    </w:p>
    <w:p w14:paraId="52E2B6F8" w14:textId="2810ACD6" w:rsidR="00FC75B7" w:rsidRPr="000C21CB" w:rsidRDefault="00FC75B7" w:rsidP="00FC75B7">
      <w:pPr>
        <w:jc w:val="both"/>
        <w:rPr>
          <w:b/>
        </w:rPr>
      </w:pPr>
      <w:r>
        <w:t xml:space="preserve">Seckford Education Trust is committed to ensuring </w:t>
      </w:r>
      <w:r w:rsidR="000359C8">
        <w:t xml:space="preserve">each and </w:t>
      </w:r>
      <w:r>
        <w:t>every student eligible for the pupil premium benefits via this additional funding and is in no way disadvantaged when compared to their peers.</w:t>
      </w:r>
      <w:r w:rsidR="000C21CB">
        <w:t xml:space="preserve"> </w:t>
      </w:r>
      <w:r w:rsidR="000C21CB">
        <w:rPr>
          <w:b/>
        </w:rPr>
        <w:t>We believe in each and every young person.</w:t>
      </w:r>
    </w:p>
    <w:p w14:paraId="44EBA8F4" w14:textId="799DECFA" w:rsidR="00FC75B7" w:rsidRDefault="00FC75B7" w:rsidP="00FC75B7">
      <w:pPr>
        <w:jc w:val="both"/>
      </w:pPr>
      <w:r>
        <w:t>We aim to:</w:t>
      </w:r>
    </w:p>
    <w:p w14:paraId="3A3D8AD5" w14:textId="6B64B84A" w:rsidR="00FC75B7" w:rsidRDefault="00FC75B7" w:rsidP="00FC75B7">
      <w:pPr>
        <w:jc w:val="both"/>
      </w:pPr>
      <w:r>
        <w:t xml:space="preserve">• Draw on research evidence and evidence from our own experience to direct funding to an offer that is most likely to maximise achievement; </w:t>
      </w:r>
    </w:p>
    <w:p w14:paraId="3E5CE5EE" w14:textId="51F509B8" w:rsidR="00FC75B7" w:rsidRDefault="00FC75B7" w:rsidP="00FC75B7">
      <w:pPr>
        <w:jc w:val="both"/>
      </w:pPr>
      <w:r>
        <w:t xml:space="preserve">• Never confuse eligibility for the Pupil Premium with low ability, and focus on supporting our disadvantaged </w:t>
      </w:r>
      <w:r w:rsidR="00B7356E">
        <w:t>students</w:t>
      </w:r>
      <w:r>
        <w:t xml:space="preserve"> to achieve the highest levels; </w:t>
      </w:r>
    </w:p>
    <w:p w14:paraId="16B897FE" w14:textId="2669A560" w:rsidR="00FC75B7" w:rsidRDefault="00FC75B7" w:rsidP="00FC75B7">
      <w:pPr>
        <w:jc w:val="both"/>
      </w:pPr>
      <w:r>
        <w:t xml:space="preserve">• Minimise potential barriers to learning and thereby maximise progress and achievement; </w:t>
      </w:r>
    </w:p>
    <w:p w14:paraId="4DA83567" w14:textId="65F75F85" w:rsidR="00FC75B7" w:rsidRDefault="00FC75B7" w:rsidP="00FC75B7">
      <w:pPr>
        <w:jc w:val="both"/>
      </w:pPr>
      <w:r>
        <w:t xml:space="preserve">• Advantage the most disadvantaged </w:t>
      </w:r>
      <w:r w:rsidR="00B7356E">
        <w:t>students</w:t>
      </w:r>
      <w:r>
        <w:t xml:space="preserve"> through whole school and sometimes more targeted offer;</w:t>
      </w:r>
    </w:p>
    <w:p w14:paraId="7770421D" w14:textId="6FA566BA" w:rsidR="00FC75B7" w:rsidRDefault="00FC75B7" w:rsidP="00FC75B7">
      <w:pPr>
        <w:jc w:val="both"/>
      </w:pPr>
      <w:r>
        <w:t xml:space="preserve">• Ensure all </w:t>
      </w:r>
      <w:r w:rsidR="00B7356E">
        <w:t>students</w:t>
      </w:r>
      <w:r>
        <w:t xml:space="preserve"> eligible for the pupil premium make outstanding academic progress and achieve beyond expectation;</w:t>
      </w:r>
    </w:p>
    <w:p w14:paraId="6F644305" w14:textId="0B5A8DEC" w:rsidR="00FC75B7" w:rsidRDefault="00FC75B7" w:rsidP="00FC75B7">
      <w:pPr>
        <w:jc w:val="both"/>
      </w:pPr>
      <w:r>
        <w:t>• Ensure there is transparency, through our reporting mechanisms, to demonstrate how and why this funding has been spent;</w:t>
      </w:r>
    </w:p>
    <w:p w14:paraId="134BC1ED" w14:textId="69655562" w:rsidR="00FC75B7" w:rsidRDefault="00FC75B7" w:rsidP="00FC75B7">
      <w:pPr>
        <w:jc w:val="both"/>
      </w:pPr>
      <w:r>
        <w:t xml:space="preserve">• Ensure we recognise that not all </w:t>
      </w:r>
      <w:r w:rsidR="00B7356E">
        <w:t>students</w:t>
      </w:r>
      <w:r>
        <w:t xml:space="preserve"> who are socially disadvantaged are registered or qualify for free school meals and reserve the right to allocate the pupil premium funding to support any pupil or groups of </w:t>
      </w:r>
      <w:r w:rsidR="00B7356E">
        <w:t>students</w:t>
      </w:r>
      <w:r>
        <w:t xml:space="preserve"> the school has legitimately identified as being socially disadvantaged; </w:t>
      </w:r>
    </w:p>
    <w:p w14:paraId="3A993A24" w14:textId="5633ECF9" w:rsidR="00FC75B7" w:rsidRDefault="00FC75B7" w:rsidP="00FC75B7">
      <w:pPr>
        <w:jc w:val="both"/>
      </w:pPr>
      <w:r>
        <w:t>• Ensure parents of disadvantaged children understand they can make a positive contribution to their children’s achievement across the SET schools by working alongside their school in harmony and recognising that parent involvement makes a difference.</w:t>
      </w:r>
    </w:p>
    <w:p w14:paraId="796C5D6E" w14:textId="52D64013" w:rsidR="000359C8" w:rsidRDefault="000359C8" w:rsidP="00FC75B7">
      <w:pPr>
        <w:jc w:val="both"/>
      </w:pPr>
      <w:r>
        <w:t>In 2019/20, the pupil premium funding allocated to SET was</w:t>
      </w:r>
      <w:r w:rsidR="00B7356E">
        <w:t xml:space="preserve"> £520,056.  This is allocated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7356E" w:rsidRPr="008F4E7D" w14:paraId="50302C47" w14:textId="77777777" w:rsidTr="00B7356E">
        <w:tc>
          <w:tcPr>
            <w:tcW w:w="5341" w:type="dxa"/>
          </w:tcPr>
          <w:p w14:paraId="15EF6377" w14:textId="1548510C" w:rsidR="00B7356E" w:rsidRPr="008F4E7D" w:rsidRDefault="00B7356E" w:rsidP="008F4E7D">
            <w:pPr>
              <w:rPr>
                <w:b/>
              </w:rPr>
            </w:pPr>
            <w:r w:rsidRPr="008F4E7D">
              <w:rPr>
                <w:b/>
              </w:rPr>
              <w:t>SET Beccles</w:t>
            </w:r>
          </w:p>
        </w:tc>
        <w:tc>
          <w:tcPr>
            <w:tcW w:w="5341" w:type="dxa"/>
          </w:tcPr>
          <w:p w14:paraId="1BC7846E" w14:textId="11DF0A39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£119,860</w:t>
            </w:r>
          </w:p>
        </w:tc>
      </w:tr>
      <w:tr w:rsidR="00B7356E" w:rsidRPr="008F4E7D" w14:paraId="7D4A64B6" w14:textId="77777777" w:rsidTr="00B7356E">
        <w:tc>
          <w:tcPr>
            <w:tcW w:w="5341" w:type="dxa"/>
          </w:tcPr>
          <w:p w14:paraId="631F8219" w14:textId="20F9273B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SET Causton</w:t>
            </w:r>
          </w:p>
        </w:tc>
        <w:tc>
          <w:tcPr>
            <w:tcW w:w="5341" w:type="dxa"/>
          </w:tcPr>
          <w:p w14:paraId="4ACEDEE9" w14:textId="118FC5EC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£132,000</w:t>
            </w:r>
          </w:p>
        </w:tc>
      </w:tr>
      <w:tr w:rsidR="00B7356E" w:rsidRPr="008F4E7D" w14:paraId="0214F049" w14:textId="77777777" w:rsidTr="00B7356E">
        <w:tc>
          <w:tcPr>
            <w:tcW w:w="5341" w:type="dxa"/>
          </w:tcPr>
          <w:p w14:paraId="2A0692AE" w14:textId="025F6608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SET Ixworth</w:t>
            </w:r>
          </w:p>
        </w:tc>
        <w:tc>
          <w:tcPr>
            <w:tcW w:w="5341" w:type="dxa"/>
          </w:tcPr>
          <w:p w14:paraId="5935DABA" w14:textId="40B1460F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£75,359</w:t>
            </w:r>
          </w:p>
        </w:tc>
      </w:tr>
      <w:tr w:rsidR="00B7356E" w:rsidRPr="008F4E7D" w14:paraId="026B50EA" w14:textId="77777777" w:rsidTr="00B7356E">
        <w:tc>
          <w:tcPr>
            <w:tcW w:w="5341" w:type="dxa"/>
          </w:tcPr>
          <w:p w14:paraId="7852C468" w14:textId="64AF2334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SET Maidstone</w:t>
            </w:r>
          </w:p>
        </w:tc>
        <w:tc>
          <w:tcPr>
            <w:tcW w:w="5341" w:type="dxa"/>
          </w:tcPr>
          <w:p w14:paraId="1A45CA37" w14:textId="08C83342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£51,480</w:t>
            </w:r>
          </w:p>
        </w:tc>
      </w:tr>
      <w:tr w:rsidR="00B7356E" w:rsidRPr="008F4E7D" w14:paraId="10C5B4FF" w14:textId="77777777" w:rsidTr="00B7356E">
        <w:tc>
          <w:tcPr>
            <w:tcW w:w="5341" w:type="dxa"/>
          </w:tcPr>
          <w:p w14:paraId="6A0BC592" w14:textId="7E590D0D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SET Saxmundham</w:t>
            </w:r>
          </w:p>
        </w:tc>
        <w:tc>
          <w:tcPr>
            <w:tcW w:w="5341" w:type="dxa"/>
          </w:tcPr>
          <w:p w14:paraId="60A76475" w14:textId="66F22100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£141,357</w:t>
            </w:r>
          </w:p>
        </w:tc>
      </w:tr>
      <w:tr w:rsidR="00B7356E" w:rsidRPr="008F4E7D" w14:paraId="4FA8E7AB" w14:textId="77777777" w:rsidTr="00B7356E">
        <w:tc>
          <w:tcPr>
            <w:tcW w:w="5341" w:type="dxa"/>
          </w:tcPr>
          <w:p w14:paraId="0BBD61F9" w14:textId="5D71A80A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Total</w:t>
            </w:r>
          </w:p>
        </w:tc>
        <w:tc>
          <w:tcPr>
            <w:tcW w:w="5341" w:type="dxa"/>
          </w:tcPr>
          <w:p w14:paraId="7B643DEF" w14:textId="33A74467" w:rsidR="00B7356E" w:rsidRPr="008F4E7D" w:rsidRDefault="00B7356E" w:rsidP="00FC75B7">
            <w:pPr>
              <w:jc w:val="both"/>
              <w:rPr>
                <w:b/>
              </w:rPr>
            </w:pPr>
            <w:r w:rsidRPr="008F4E7D">
              <w:rPr>
                <w:b/>
              </w:rPr>
              <w:t>£520,056</w:t>
            </w:r>
          </w:p>
        </w:tc>
      </w:tr>
    </w:tbl>
    <w:p w14:paraId="726B9A3C" w14:textId="77777777" w:rsidR="008F4E7D" w:rsidRPr="008F4E7D" w:rsidRDefault="008F4E7D" w:rsidP="00FC75B7">
      <w:pPr>
        <w:jc w:val="both"/>
        <w:rPr>
          <w:sz w:val="16"/>
          <w:szCs w:val="16"/>
        </w:rPr>
      </w:pPr>
    </w:p>
    <w:p w14:paraId="7665871B" w14:textId="0BFE76C0" w:rsidR="00B7356E" w:rsidRDefault="00B7356E" w:rsidP="00FC75B7">
      <w:pPr>
        <w:jc w:val="both"/>
      </w:pPr>
      <w:r>
        <w:t>Of the total monies received, £22,093 was a contribution to staff costs</w:t>
      </w:r>
      <w:r w:rsidR="002E06E8">
        <w:t>.</w:t>
      </w:r>
    </w:p>
    <w:p w14:paraId="32F7E07C" w14:textId="7251B709" w:rsidR="00B7356E" w:rsidRDefault="008F4E7D" w:rsidP="00FC75B7">
      <w:pPr>
        <w:jc w:val="both"/>
        <w:rPr>
          <w:b/>
        </w:rPr>
      </w:pPr>
      <w:r w:rsidRPr="008F4E7D">
        <w:rPr>
          <w:b/>
        </w:rPr>
        <w:t>2019-20 was an unusual year</w:t>
      </w:r>
      <w:r w:rsidR="00E0475D">
        <w:rPr>
          <w:b/>
        </w:rPr>
        <w:t>,</w:t>
      </w:r>
      <w:r w:rsidRPr="008F4E7D">
        <w:rPr>
          <w:b/>
        </w:rPr>
        <w:t xml:space="preserve"> and prior to lockdown, the pupil premium allocation was used in the following ways:</w:t>
      </w:r>
    </w:p>
    <w:p w14:paraId="2A90F6EE" w14:textId="77777777" w:rsidR="002E06E8" w:rsidRDefault="002E06E8" w:rsidP="00FC75B7">
      <w:pPr>
        <w:jc w:val="both"/>
        <w:rPr>
          <w:b/>
        </w:rPr>
      </w:pPr>
    </w:p>
    <w:p w14:paraId="09D0D8E9" w14:textId="16CB6F9D" w:rsidR="008F4E7D" w:rsidRDefault="008F4E7D" w:rsidP="00FC75B7">
      <w:pPr>
        <w:jc w:val="both"/>
        <w:rPr>
          <w:b/>
        </w:rPr>
      </w:pPr>
      <w:r>
        <w:rPr>
          <w:b/>
        </w:rPr>
        <w:lastRenderedPageBreak/>
        <w:t>1: Improved teaching</w:t>
      </w:r>
    </w:p>
    <w:p w14:paraId="5625ECBC" w14:textId="04394E7C" w:rsidR="008F4E7D" w:rsidRPr="00907C4F" w:rsidRDefault="002E06E8" w:rsidP="00907C4F">
      <w:pPr>
        <w:pStyle w:val="ListParagraph"/>
        <w:numPr>
          <w:ilvl w:val="0"/>
          <w:numId w:val="27"/>
        </w:numPr>
        <w:jc w:val="both"/>
      </w:pPr>
      <w:r>
        <w:t>Work with external advisors to</w:t>
      </w:r>
      <w:r w:rsidR="00907C4F" w:rsidRPr="00907C4F">
        <w:t xml:space="preserve"> re-design of the SET curriculum so that all students have access to a high quality well sequenced knowledge-rich curriculum;</w:t>
      </w:r>
    </w:p>
    <w:p w14:paraId="52B12326" w14:textId="29C4C1A9" w:rsidR="002E06E8" w:rsidRDefault="002E06E8" w:rsidP="00907C4F">
      <w:pPr>
        <w:pStyle w:val="ListParagraph"/>
        <w:numPr>
          <w:ilvl w:val="0"/>
          <w:numId w:val="27"/>
        </w:numPr>
        <w:jc w:val="both"/>
      </w:pPr>
      <w:r>
        <w:t>Externally-led training seminars to support curriculum delivery;</w:t>
      </w:r>
    </w:p>
    <w:p w14:paraId="7D3EB6CA" w14:textId="7346B2C1" w:rsidR="00907C4F" w:rsidRPr="00907C4F" w:rsidRDefault="00907C4F" w:rsidP="00907C4F">
      <w:pPr>
        <w:pStyle w:val="ListParagraph"/>
        <w:numPr>
          <w:ilvl w:val="0"/>
          <w:numId w:val="27"/>
        </w:numPr>
        <w:jc w:val="both"/>
      </w:pPr>
      <w:r w:rsidRPr="00907C4F">
        <w:t>A focus on tier-3 vocabulary;</w:t>
      </w:r>
    </w:p>
    <w:p w14:paraId="01D9D382" w14:textId="69C30384" w:rsidR="00907C4F" w:rsidRPr="00907C4F" w:rsidRDefault="00E0475D" w:rsidP="00E0475D">
      <w:pPr>
        <w:pStyle w:val="ListParagraph"/>
        <w:numPr>
          <w:ilvl w:val="0"/>
          <w:numId w:val="27"/>
        </w:numPr>
        <w:jc w:val="both"/>
      </w:pPr>
      <w:r>
        <w:t>Engagement with cognitive science, in particular Rosenshine’s Principles of Instruction.</w:t>
      </w:r>
    </w:p>
    <w:p w14:paraId="07F7CD61" w14:textId="15858EB6" w:rsidR="008F4E7D" w:rsidRDefault="008F4E7D" w:rsidP="00FC75B7">
      <w:pPr>
        <w:jc w:val="both"/>
        <w:rPr>
          <w:b/>
        </w:rPr>
      </w:pPr>
      <w:r>
        <w:rPr>
          <w:b/>
        </w:rPr>
        <w:t>2.  Targeted academic support</w:t>
      </w:r>
    </w:p>
    <w:p w14:paraId="79A07E27" w14:textId="0AC9CE01" w:rsidR="008F4E7D" w:rsidRDefault="008F4E7D" w:rsidP="00EB29B0">
      <w:pPr>
        <w:pStyle w:val="ListParagraph"/>
        <w:numPr>
          <w:ilvl w:val="0"/>
          <w:numId w:val="24"/>
        </w:numPr>
        <w:jc w:val="both"/>
      </w:pPr>
      <w:r>
        <w:t>Year 11 intervention and 1:1 support</w:t>
      </w:r>
      <w:r w:rsidR="002855E5">
        <w:t xml:space="preserve"> for all year 11 students</w:t>
      </w:r>
      <w:r>
        <w:t>;</w:t>
      </w:r>
    </w:p>
    <w:p w14:paraId="3296849D" w14:textId="622382F5" w:rsidR="008F4E7D" w:rsidRDefault="008F4E7D" w:rsidP="00EB29B0">
      <w:pPr>
        <w:pStyle w:val="ListParagraph"/>
        <w:numPr>
          <w:ilvl w:val="0"/>
          <w:numId w:val="24"/>
        </w:numPr>
        <w:jc w:val="both"/>
      </w:pPr>
      <w:r>
        <w:t>Intensive literacy support using Lexia</w:t>
      </w:r>
      <w:r w:rsidR="002855E5">
        <w:t xml:space="preserve"> accessed by 23 % of students in Years 7 and 8</w:t>
      </w:r>
      <w:r>
        <w:t>;</w:t>
      </w:r>
    </w:p>
    <w:p w14:paraId="4B85C62C" w14:textId="562A253D" w:rsidR="008F4E7D" w:rsidRDefault="008F4E7D" w:rsidP="00EB29B0">
      <w:pPr>
        <w:pStyle w:val="ListParagraph"/>
        <w:numPr>
          <w:ilvl w:val="0"/>
          <w:numId w:val="24"/>
        </w:numPr>
        <w:jc w:val="both"/>
      </w:pPr>
      <w:r>
        <w:t>1:1 support, including learning mentor, Pastoral Support Assistant mentoring, key worker support;</w:t>
      </w:r>
    </w:p>
    <w:p w14:paraId="4F4AF61F" w14:textId="235C693A" w:rsidR="008F4E7D" w:rsidRDefault="008F4E7D" w:rsidP="00EB29B0">
      <w:pPr>
        <w:pStyle w:val="ListParagraph"/>
        <w:numPr>
          <w:ilvl w:val="0"/>
          <w:numId w:val="24"/>
        </w:numPr>
        <w:jc w:val="both"/>
      </w:pPr>
      <w:r>
        <w:t>Homework</w:t>
      </w:r>
      <w:r w:rsidR="00D31C52">
        <w:t xml:space="preserve"> and study</w:t>
      </w:r>
      <w:r>
        <w:t xml:space="preserve"> support;</w:t>
      </w:r>
    </w:p>
    <w:p w14:paraId="5B2E20F7" w14:textId="4CDD8EFD" w:rsidR="008F4E7D" w:rsidRDefault="008F4E7D" w:rsidP="00EB29B0">
      <w:pPr>
        <w:pStyle w:val="ListParagraph"/>
        <w:numPr>
          <w:ilvl w:val="0"/>
          <w:numId w:val="24"/>
        </w:numPr>
        <w:jc w:val="both"/>
      </w:pPr>
      <w:r>
        <w:t>Year 11 revision guides;</w:t>
      </w:r>
    </w:p>
    <w:p w14:paraId="2FC3C249" w14:textId="71C2D7A5" w:rsidR="00EB29B0" w:rsidRDefault="008F4E7D" w:rsidP="00EB29B0">
      <w:pPr>
        <w:pStyle w:val="ListParagraph"/>
        <w:numPr>
          <w:ilvl w:val="0"/>
          <w:numId w:val="24"/>
        </w:numPr>
        <w:jc w:val="both"/>
      </w:pPr>
      <w:r>
        <w:t>Times Tables Rockstars</w:t>
      </w:r>
      <w:r w:rsidR="002855E5">
        <w:t xml:space="preserve"> accessed by 17% of students in Year 7.</w:t>
      </w:r>
    </w:p>
    <w:p w14:paraId="6AD094E8" w14:textId="3FC0AA31" w:rsidR="00EB29B0" w:rsidRDefault="00EB29B0" w:rsidP="00EB29B0">
      <w:pPr>
        <w:jc w:val="both"/>
        <w:rPr>
          <w:b/>
        </w:rPr>
      </w:pPr>
      <w:r w:rsidRPr="00907C4F">
        <w:rPr>
          <w:b/>
        </w:rPr>
        <w:t>3.</w:t>
      </w:r>
      <w:r>
        <w:t xml:space="preserve"> </w:t>
      </w:r>
      <w:r>
        <w:rPr>
          <w:b/>
        </w:rPr>
        <w:t>Wider whole school support</w:t>
      </w:r>
      <w:bookmarkStart w:id="0" w:name="_GoBack"/>
      <w:bookmarkEnd w:id="0"/>
    </w:p>
    <w:p w14:paraId="227AAE20" w14:textId="56DA6194" w:rsidR="00EB29B0" w:rsidRPr="00E0475D" w:rsidRDefault="00EB29B0" w:rsidP="00907C4F">
      <w:pPr>
        <w:pStyle w:val="ListParagraph"/>
        <w:numPr>
          <w:ilvl w:val="0"/>
          <w:numId w:val="26"/>
        </w:numPr>
        <w:jc w:val="both"/>
      </w:pPr>
      <w:r w:rsidRPr="00E0475D">
        <w:t>Extended School day and enrichment;</w:t>
      </w:r>
    </w:p>
    <w:p w14:paraId="2A493DF3" w14:textId="4487AD19" w:rsidR="00EB29B0" w:rsidRPr="00E0475D" w:rsidRDefault="00EB29B0" w:rsidP="00907C4F">
      <w:pPr>
        <w:pStyle w:val="ListParagraph"/>
        <w:numPr>
          <w:ilvl w:val="0"/>
          <w:numId w:val="26"/>
        </w:numPr>
        <w:jc w:val="both"/>
      </w:pPr>
      <w:r w:rsidRPr="00E0475D">
        <w:t>Christmas Enrichment events and Summer Enrichment Week;</w:t>
      </w:r>
    </w:p>
    <w:p w14:paraId="14BD49C6" w14:textId="3AB3834C" w:rsidR="00EB29B0" w:rsidRPr="00E0475D" w:rsidRDefault="00EB29B0" w:rsidP="00907C4F">
      <w:pPr>
        <w:pStyle w:val="ListParagraph"/>
        <w:numPr>
          <w:ilvl w:val="0"/>
          <w:numId w:val="26"/>
        </w:numPr>
        <w:jc w:val="both"/>
      </w:pPr>
      <w:r w:rsidRPr="00E0475D">
        <w:t>Breakfast Club;</w:t>
      </w:r>
    </w:p>
    <w:p w14:paraId="365D7739" w14:textId="05438C06" w:rsidR="00EB29B0" w:rsidRPr="00E0475D" w:rsidRDefault="00EB29B0" w:rsidP="00907C4F">
      <w:pPr>
        <w:pStyle w:val="ListParagraph"/>
        <w:numPr>
          <w:ilvl w:val="0"/>
          <w:numId w:val="26"/>
        </w:numPr>
        <w:jc w:val="both"/>
      </w:pPr>
      <w:r w:rsidRPr="00E0475D">
        <w:t>Independent Careers Advice and Guidance;</w:t>
      </w:r>
    </w:p>
    <w:p w14:paraId="5FE23CCE" w14:textId="1751807D" w:rsidR="00EB29B0" w:rsidRPr="00E0475D" w:rsidRDefault="002E06E8" w:rsidP="00907C4F">
      <w:pPr>
        <w:pStyle w:val="ListParagraph"/>
        <w:numPr>
          <w:ilvl w:val="0"/>
          <w:numId w:val="26"/>
        </w:numPr>
        <w:jc w:val="both"/>
      </w:pPr>
      <w:r>
        <w:t xml:space="preserve">Trust-wide </w:t>
      </w:r>
      <w:r w:rsidR="00EB29B0" w:rsidRPr="00E0475D">
        <w:t>Hardship Fund;</w:t>
      </w:r>
    </w:p>
    <w:p w14:paraId="4E7F48DA" w14:textId="6A19C69F" w:rsidR="00EB29B0" w:rsidRPr="00907C4F" w:rsidRDefault="00EB29B0" w:rsidP="00907C4F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907C4F">
        <w:rPr>
          <w:rFonts w:cstheme="minorHAnsi"/>
        </w:rPr>
        <w:t>Mentoring via Form Tutor/Pastoral Support Officer/CISS</w:t>
      </w:r>
      <w:r w:rsidR="00E0475D">
        <w:rPr>
          <w:rFonts w:cstheme="minorHAnsi"/>
        </w:rPr>
        <w:t>;</w:t>
      </w:r>
    </w:p>
    <w:p w14:paraId="26D59566" w14:textId="7D82DB95" w:rsidR="00907C4F" w:rsidRDefault="00907C4F" w:rsidP="00907C4F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907C4F">
        <w:rPr>
          <w:rFonts w:cstheme="minorHAnsi"/>
        </w:rPr>
        <w:t>Link Trustees</w:t>
      </w:r>
      <w:r>
        <w:rPr>
          <w:rFonts w:cstheme="minorHAnsi"/>
        </w:rPr>
        <w:t xml:space="preserve"> specifically for PP</w:t>
      </w:r>
      <w:r w:rsidR="00E0475D">
        <w:rPr>
          <w:rFonts w:cstheme="minorHAnsi"/>
        </w:rPr>
        <w:t>;</w:t>
      </w:r>
    </w:p>
    <w:p w14:paraId="79E5BCA4" w14:textId="3A2134DD" w:rsidR="00E0475D" w:rsidRDefault="00E0475D" w:rsidP="00907C4F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Brilliant Club;</w:t>
      </w:r>
    </w:p>
    <w:p w14:paraId="411B3D04" w14:textId="77777777" w:rsidR="00E0475D" w:rsidRDefault="00E0475D" w:rsidP="00E0475D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>Chromebooks for individual students;</w:t>
      </w:r>
    </w:p>
    <w:p w14:paraId="2F95C475" w14:textId="7C46364D" w:rsidR="00E0475D" w:rsidRDefault="002E06E8" w:rsidP="00907C4F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>
        <w:rPr>
          <w:rFonts w:cstheme="minorHAnsi"/>
        </w:rPr>
        <w:t>19% of</w:t>
      </w:r>
      <w:r w:rsidRPr="00E0475D">
        <w:rPr>
          <w:rFonts w:cstheme="minorHAnsi"/>
        </w:rPr>
        <w:t xml:space="preserve"> </w:t>
      </w:r>
      <w:r w:rsidR="00E0475D" w:rsidRPr="00E0475D">
        <w:rPr>
          <w:rFonts w:cstheme="minorHAnsi"/>
        </w:rPr>
        <w:t>students are also supported through the counselling service to help them work through issues which impact on their readiness to learn.</w:t>
      </w:r>
      <w:r w:rsidR="00E0475D" w:rsidRPr="00E0475D" w:rsidDel="00E0475D">
        <w:rPr>
          <w:rFonts w:cstheme="minorHAnsi"/>
        </w:rPr>
        <w:t xml:space="preserve"> </w:t>
      </w:r>
    </w:p>
    <w:p w14:paraId="6B421231" w14:textId="31B4A586" w:rsidR="00E0475D" w:rsidRDefault="00E0475D" w:rsidP="000C21CB">
      <w:pPr>
        <w:jc w:val="both"/>
      </w:pPr>
      <w:r>
        <w:rPr>
          <w:b/>
        </w:rPr>
        <w:t>‘</w:t>
      </w:r>
      <w:r w:rsidRPr="00E0475D">
        <w:rPr>
          <w:b/>
        </w:rPr>
        <w:t>Lockdown</w:t>
      </w:r>
      <w:r>
        <w:rPr>
          <w:b/>
        </w:rPr>
        <w:t>’</w:t>
      </w:r>
    </w:p>
    <w:p w14:paraId="0ACEADF2" w14:textId="2BBC6DBA" w:rsidR="00E0475D" w:rsidRDefault="00E0475D" w:rsidP="000C21CB">
      <w:pPr>
        <w:jc w:val="both"/>
        <w:rPr>
          <w:rFonts w:cstheme="minorHAnsi"/>
        </w:rPr>
      </w:pPr>
      <w:r w:rsidRPr="00E0475D">
        <w:rPr>
          <w:rFonts w:cstheme="minorHAnsi"/>
        </w:rPr>
        <w:t>In addition to these measures</w:t>
      </w:r>
      <w:r w:rsidR="00D31C52">
        <w:rPr>
          <w:rFonts w:cstheme="minorHAnsi"/>
        </w:rPr>
        <w:t xml:space="preserve"> -</w:t>
      </w:r>
      <w:r w:rsidRPr="00E0475D">
        <w:rPr>
          <w:rFonts w:cstheme="minorHAnsi"/>
        </w:rPr>
        <w:t xml:space="preserve"> and in order to respond to individual student needs during ‘lockdown’, </w:t>
      </w:r>
      <w:r w:rsidR="00D31C52">
        <w:rPr>
          <w:rFonts w:cstheme="minorHAnsi"/>
        </w:rPr>
        <w:t>additional funds were assigned in the following ways:</w:t>
      </w:r>
    </w:p>
    <w:p w14:paraId="0A5B26B0" w14:textId="7E805484" w:rsidR="00D31C52" w:rsidRDefault="00D31C52" w:rsidP="00D31C52">
      <w:pPr>
        <w:pStyle w:val="ListParagraph"/>
        <w:numPr>
          <w:ilvl w:val="0"/>
          <w:numId w:val="28"/>
        </w:numPr>
        <w:jc w:val="both"/>
      </w:pPr>
      <w:r>
        <w:t>£7,225.20 was allocated to additional lunch subsidies (this is in addition to the Government Voucher Scheme);</w:t>
      </w:r>
    </w:p>
    <w:p w14:paraId="1A636442" w14:textId="11CD08DD" w:rsidR="00D31C52" w:rsidRDefault="00D31C52" w:rsidP="00D31C52">
      <w:pPr>
        <w:pStyle w:val="ListParagraph"/>
        <w:numPr>
          <w:ilvl w:val="0"/>
          <w:numId w:val="28"/>
        </w:numPr>
        <w:jc w:val="both"/>
      </w:pPr>
      <w:r>
        <w:t>£9,334.40 was allocated to Free School Meal Vouchers (this is in addition to the Government Voucher Scheme);</w:t>
      </w:r>
    </w:p>
    <w:p w14:paraId="18806C72" w14:textId="71028747" w:rsidR="00D31C52" w:rsidRDefault="00D31C52" w:rsidP="00D31C52">
      <w:pPr>
        <w:pStyle w:val="ListParagraph"/>
        <w:numPr>
          <w:ilvl w:val="0"/>
          <w:numId w:val="28"/>
        </w:numPr>
        <w:jc w:val="both"/>
      </w:pPr>
      <w:r>
        <w:t>£6,608.38 was spent on transport to allow children of key workers to attend school;</w:t>
      </w:r>
    </w:p>
    <w:p w14:paraId="090CAB07" w14:textId="4647C2AE" w:rsidR="00D31C52" w:rsidRPr="00D31C52" w:rsidRDefault="00D31C52" w:rsidP="00D31C52">
      <w:pPr>
        <w:pStyle w:val="ListParagraph"/>
        <w:numPr>
          <w:ilvl w:val="0"/>
          <w:numId w:val="28"/>
        </w:numPr>
        <w:jc w:val="both"/>
        <w:rPr>
          <w:rFonts w:cstheme="minorHAnsi"/>
          <w:b/>
        </w:rPr>
      </w:pPr>
      <w:r>
        <w:t>£962.45 was spent on an additional ICT for students (this is in addition to the Government Scheme).</w:t>
      </w:r>
    </w:p>
    <w:p w14:paraId="670DDB2F" w14:textId="3800631A" w:rsidR="000C21CB" w:rsidRPr="000C21CB" w:rsidRDefault="000C21CB" w:rsidP="000C21CB">
      <w:pPr>
        <w:jc w:val="both"/>
        <w:rPr>
          <w:b/>
        </w:rPr>
      </w:pPr>
      <w:r w:rsidRPr="000C21CB">
        <w:rPr>
          <w:b/>
        </w:rPr>
        <w:t>Measuring the impact of Pupil Premium</w:t>
      </w:r>
    </w:p>
    <w:p w14:paraId="27C611D7" w14:textId="40DD5758" w:rsidR="000C21CB" w:rsidRDefault="000C21CB" w:rsidP="000C21CB">
      <w:pPr>
        <w:jc w:val="both"/>
      </w:pPr>
      <w:r>
        <w:t xml:space="preserve">Whilst the disruption to the 2019/20 academic year has prevented us from reviewing the full impact of our strategies, the impact of the pupil premium is </w:t>
      </w:r>
      <w:r w:rsidR="002E06E8">
        <w:t xml:space="preserve">typically </w:t>
      </w:r>
      <w:r>
        <w:t>measured in several ways:</w:t>
      </w:r>
    </w:p>
    <w:p w14:paraId="2CAABE22" w14:textId="77777777" w:rsidR="000C21CB" w:rsidRDefault="000C21CB" w:rsidP="000C21CB">
      <w:pPr>
        <w:jc w:val="both"/>
      </w:pPr>
      <w:r>
        <w:t xml:space="preserve"> • Achievement and outcomes at the end of KS4, including gaps between PP and Non-PP students;</w:t>
      </w:r>
    </w:p>
    <w:p w14:paraId="6E492AB7" w14:textId="2D4CE097" w:rsidR="000C21CB" w:rsidRDefault="000C21CB" w:rsidP="000C21CB">
      <w:pPr>
        <w:jc w:val="both"/>
      </w:pPr>
      <w:r>
        <w:lastRenderedPageBreak/>
        <w:t xml:space="preserve"> • Achievement and measuring of gaps between PP and Non-PP students in KS3 from the end of year exams; </w:t>
      </w:r>
    </w:p>
    <w:p w14:paraId="6607228A" w14:textId="0B094750" w:rsidR="000C21CB" w:rsidRDefault="000C21CB" w:rsidP="000C21CB">
      <w:pPr>
        <w:jc w:val="both"/>
      </w:pPr>
      <w:r>
        <w:t>• Regular monitoring of student progress;</w:t>
      </w:r>
    </w:p>
    <w:p w14:paraId="4B3A5A8F" w14:textId="77777777" w:rsidR="000C21CB" w:rsidRDefault="000C21CB" w:rsidP="000C21CB">
      <w:pPr>
        <w:jc w:val="both"/>
      </w:pPr>
      <w:r>
        <w:t xml:space="preserve">• Monitoring of attendance; </w:t>
      </w:r>
    </w:p>
    <w:p w14:paraId="5DF0AA72" w14:textId="18B1034F" w:rsidR="000C21CB" w:rsidRDefault="000C21CB" w:rsidP="000C21CB">
      <w:pPr>
        <w:jc w:val="both"/>
      </w:pPr>
      <w:r>
        <w:t>• Uptake and variety of enrichment opportunities;</w:t>
      </w:r>
    </w:p>
    <w:p w14:paraId="0BFF9EB3" w14:textId="65D75696" w:rsidR="000C21CB" w:rsidRDefault="000C21CB" w:rsidP="000C21CB">
      <w:pPr>
        <w:jc w:val="both"/>
      </w:pPr>
      <w:r>
        <w:t xml:space="preserve">• Level of engagement and parental feedback from Progress Evenings; </w:t>
      </w:r>
    </w:p>
    <w:p w14:paraId="5F08DC62" w14:textId="43134AD1" w:rsidR="000C21CB" w:rsidRDefault="000C21CB" w:rsidP="000C21CB">
      <w:pPr>
        <w:jc w:val="both"/>
      </w:pPr>
      <w:r>
        <w:t>• Evaluation of the impact of professional learning;</w:t>
      </w:r>
    </w:p>
    <w:p w14:paraId="6EDCA8B3" w14:textId="476D1B11" w:rsidR="00D31C52" w:rsidRDefault="000C21CB" w:rsidP="000C21CB">
      <w:pPr>
        <w:jc w:val="both"/>
      </w:pPr>
      <w:r>
        <w:t>• Levels of access to the</w:t>
      </w:r>
      <w:r w:rsidR="002E06E8">
        <w:t xml:space="preserve"> Trust-wide</w:t>
      </w:r>
      <w:r>
        <w:t xml:space="preserve"> </w:t>
      </w:r>
      <w:r w:rsidR="002E06E8">
        <w:t>H</w:t>
      </w:r>
      <w:r>
        <w:t xml:space="preserve">ardship </w:t>
      </w:r>
      <w:r w:rsidR="002E06E8">
        <w:t>F</w:t>
      </w:r>
      <w:r>
        <w:t>und.</w:t>
      </w:r>
    </w:p>
    <w:p w14:paraId="30516389" w14:textId="4D6EACEE" w:rsidR="00BD00E1" w:rsidRPr="00BD00E1" w:rsidRDefault="00BD00E1" w:rsidP="000C21CB">
      <w:pPr>
        <w:jc w:val="both"/>
        <w:rPr>
          <w:b/>
        </w:rPr>
      </w:pPr>
      <w:r>
        <w:rPr>
          <w:b/>
        </w:rPr>
        <w:t>Rationale</w:t>
      </w:r>
    </w:p>
    <w:p w14:paraId="338444C9" w14:textId="2320B627" w:rsidR="000C21CB" w:rsidRDefault="000C21CB" w:rsidP="000C21CB">
      <w:pPr>
        <w:jc w:val="both"/>
      </w:pPr>
      <w:r>
        <w:t xml:space="preserve">The 2020-2023 pupil premium strategy document </w:t>
      </w:r>
      <w:r w:rsidR="00BD00E1">
        <w:t xml:space="preserve">outlines our </w:t>
      </w:r>
      <w:r w:rsidR="00BD00E1" w:rsidRPr="00BD00E1">
        <w:rPr>
          <w:b/>
        </w:rPr>
        <w:t>rationale</w:t>
      </w:r>
      <w:r w:rsidR="00BD00E1">
        <w:t xml:space="preserve"> for the Pupil Premium Grant. This is to:</w:t>
      </w:r>
    </w:p>
    <w:p w14:paraId="58253D18" w14:textId="53FF3205" w:rsidR="00BD00E1" w:rsidRDefault="00BD00E1" w:rsidP="000C21CB">
      <w:pPr>
        <w:jc w:val="both"/>
      </w:pPr>
      <w:r>
        <w:t>• Improve the academic outcomes of disadvantaged students of all abilities;</w:t>
      </w:r>
    </w:p>
    <w:p w14:paraId="186A21D2" w14:textId="6C0A60B6" w:rsidR="00BD00E1" w:rsidRDefault="00BD00E1" w:rsidP="000C21CB">
      <w:pPr>
        <w:jc w:val="both"/>
      </w:pPr>
      <w:r>
        <w:t>• Close the attainment and progress gap between disadvantaged students and their peers;</w:t>
      </w:r>
    </w:p>
    <w:p w14:paraId="2F510178" w14:textId="5ED9FA8E" w:rsidR="00BD00E1" w:rsidRDefault="00BD00E1" w:rsidP="000C21CB">
      <w:pPr>
        <w:jc w:val="both"/>
      </w:pPr>
      <w:r>
        <w:t>• Identify and implement strategies that help to increase social mobility;</w:t>
      </w:r>
    </w:p>
    <w:p w14:paraId="38F8C42B" w14:textId="265E44A1" w:rsidR="00BD00E1" w:rsidRDefault="00BD00E1" w:rsidP="000C21CB">
      <w:pPr>
        <w:jc w:val="both"/>
      </w:pPr>
      <w:r>
        <w:t>• Enhance students’ cultural literacy and wider enrichment opportunities.</w:t>
      </w:r>
    </w:p>
    <w:p w14:paraId="53738B80" w14:textId="0C395131" w:rsidR="00BD00E1" w:rsidRPr="00F43139" w:rsidRDefault="00BD00E1" w:rsidP="000C21CB">
      <w:pPr>
        <w:jc w:val="both"/>
        <w:rPr>
          <w:b/>
        </w:rPr>
      </w:pPr>
      <w:r w:rsidRPr="00F43139">
        <w:rPr>
          <w:b/>
        </w:rPr>
        <w:t>Actions to consider for developing our PP strategy in 2020/21</w:t>
      </w:r>
    </w:p>
    <w:p w14:paraId="60DB4797" w14:textId="2EA5788D" w:rsidR="00BD00E1" w:rsidRDefault="00BD00E1" w:rsidP="000C21CB">
      <w:pPr>
        <w:jc w:val="both"/>
      </w:pPr>
      <w:r>
        <w:t>▪ Review the impact of Covid on individual students and families and identify students in need of additional support (academic and well-being);</w:t>
      </w:r>
    </w:p>
    <w:p w14:paraId="1D0E8953" w14:textId="6D0AD343" w:rsidR="00BD00E1" w:rsidRDefault="00BD00E1" w:rsidP="000C21CB">
      <w:pPr>
        <w:jc w:val="both"/>
      </w:pPr>
      <w:r>
        <w:t>▪ Review the aspects of the 2019/20 curriculum (and key vocabulary) that need re-teaching or teaching for the first time;</w:t>
      </w:r>
    </w:p>
    <w:p w14:paraId="63F5024B" w14:textId="28C2FE68" w:rsidR="00F43139" w:rsidRDefault="00F43139" w:rsidP="000C21CB">
      <w:pPr>
        <w:jc w:val="both"/>
      </w:pPr>
      <w:r>
        <w:t>▪ Review strategic support around attendance and persistent absence;</w:t>
      </w:r>
    </w:p>
    <w:p w14:paraId="70C53A0F" w14:textId="1F88E4C2" w:rsidR="00BD00E1" w:rsidRDefault="00BD00E1" w:rsidP="000C21CB">
      <w:pPr>
        <w:jc w:val="both"/>
      </w:pPr>
      <w:r>
        <w:t xml:space="preserve">▪ Carefully monitor gaps between PP and Non-PP for the new Y10 cohort and their transition to KS4; </w:t>
      </w:r>
    </w:p>
    <w:p w14:paraId="0652373D" w14:textId="0DEC8C83" w:rsidR="00F43139" w:rsidRDefault="00BD00E1" w:rsidP="000C21CB">
      <w:pPr>
        <w:jc w:val="both"/>
      </w:pPr>
      <w:r>
        <w:t xml:space="preserve">▪ Review forecasts for new Y11 PP </w:t>
      </w:r>
      <w:r w:rsidR="00F43139">
        <w:t>students</w:t>
      </w:r>
      <w:r>
        <w:t xml:space="preserve"> with higher prior attainment and consider to what extend they may need additional intervention to ensure they maximise their full potential</w:t>
      </w:r>
      <w:r w:rsidR="00F43139">
        <w:t>;</w:t>
      </w:r>
    </w:p>
    <w:p w14:paraId="57A0FB49" w14:textId="46D7418A" w:rsidR="00F43139" w:rsidRDefault="00BD00E1" w:rsidP="000C21CB">
      <w:pPr>
        <w:jc w:val="both"/>
      </w:pPr>
      <w:r>
        <w:t xml:space="preserve"> ▪ Review intervention and support required for PP </w:t>
      </w:r>
      <w:r w:rsidR="00F43139">
        <w:t>students</w:t>
      </w:r>
      <w:r>
        <w:t xml:space="preserve"> in </w:t>
      </w:r>
      <w:r w:rsidR="00F43139">
        <w:t xml:space="preserve">English and </w:t>
      </w:r>
      <w:r>
        <w:t>maths par</w:t>
      </w:r>
      <w:r w:rsidR="00F43139">
        <w:t>ticularly at 5+ in Y10/Y11;</w:t>
      </w:r>
    </w:p>
    <w:p w14:paraId="699F6B5D" w14:textId="26AF18B0" w:rsidR="00F43139" w:rsidRDefault="00BD00E1" w:rsidP="000C21CB">
      <w:pPr>
        <w:jc w:val="both"/>
      </w:pPr>
      <w:r>
        <w:t xml:space="preserve">▪ More strategic monitoring of PP </w:t>
      </w:r>
      <w:r w:rsidR="00F43139">
        <w:t>students</w:t>
      </w:r>
      <w:r>
        <w:t xml:space="preserve"> </w:t>
      </w:r>
      <w:r w:rsidR="00F43139">
        <w:t>engagement with enrichment;</w:t>
      </w:r>
    </w:p>
    <w:p w14:paraId="1BD696AE" w14:textId="38850D17" w:rsidR="00BD00E1" w:rsidRDefault="00BD00E1" w:rsidP="000C21CB">
      <w:pPr>
        <w:jc w:val="both"/>
      </w:pPr>
      <w:r>
        <w:t>▪</w:t>
      </w:r>
      <w:r w:rsidR="00F43139">
        <w:t xml:space="preserve"> </w:t>
      </w:r>
      <w:r>
        <w:t xml:space="preserve">Continued PP literacy intervention required in Y8 for </w:t>
      </w:r>
      <w:r w:rsidR="00F43139">
        <w:t>students</w:t>
      </w:r>
      <w:r>
        <w:t xml:space="preserve"> who have not made sufficient advancement in reading ages by the end of Y7</w:t>
      </w:r>
      <w:r w:rsidR="00F43139">
        <w:t>;</w:t>
      </w:r>
    </w:p>
    <w:p w14:paraId="0BA9959E" w14:textId="3FB438D6" w:rsidR="00F43139" w:rsidRDefault="00F43139" w:rsidP="000C21CB">
      <w:pPr>
        <w:jc w:val="both"/>
      </w:pPr>
      <w:r>
        <w:t xml:space="preserve">▪ Consider how best to deploy 1:1 tutors in English, maths and </w:t>
      </w:r>
      <w:r w:rsidR="002E06E8">
        <w:t>s</w:t>
      </w:r>
      <w:r>
        <w:t>cience;</w:t>
      </w:r>
    </w:p>
    <w:p w14:paraId="523421F1" w14:textId="39F07386" w:rsidR="00F43139" w:rsidRPr="00F43139" w:rsidRDefault="00F43139" w:rsidP="000C21CB">
      <w:pPr>
        <w:jc w:val="both"/>
      </w:pPr>
      <w:r>
        <w:t>▪ Consider how best to allocate on-line tutors via ‘My Tutor’.</w:t>
      </w:r>
    </w:p>
    <w:sectPr w:rsidR="00F43139" w:rsidRPr="00F43139" w:rsidSect="00FE66BC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336D" w14:textId="77777777" w:rsidR="00C81BF7" w:rsidRDefault="00C81BF7" w:rsidP="00CC4708">
      <w:pPr>
        <w:spacing w:after="0" w:line="240" w:lineRule="auto"/>
      </w:pPr>
      <w:r>
        <w:separator/>
      </w:r>
    </w:p>
  </w:endnote>
  <w:endnote w:type="continuationSeparator" w:id="0">
    <w:p w14:paraId="7C99CBF5" w14:textId="77777777" w:rsidR="00C81BF7" w:rsidRDefault="00C81BF7" w:rsidP="00CC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9B1BB4" w14:paraId="3287745A" w14:textId="77777777">
      <w:tc>
        <w:tcPr>
          <w:tcW w:w="918" w:type="dxa"/>
        </w:tcPr>
        <w:p w14:paraId="2EBB6E20" w14:textId="77777777" w:rsidR="009B1BB4" w:rsidRDefault="009B1BB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855E5" w:rsidRPr="002855E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77C9C5C" w14:textId="77777777" w:rsidR="009B1BB4" w:rsidRDefault="009B1BB4">
          <w:pPr>
            <w:pStyle w:val="Footer"/>
          </w:pPr>
        </w:p>
      </w:tc>
    </w:tr>
  </w:tbl>
  <w:p w14:paraId="11013F36" w14:textId="77777777" w:rsidR="00010E4B" w:rsidRDefault="0001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B3EAB" w14:textId="77777777" w:rsidR="00C81BF7" w:rsidRDefault="00C81BF7" w:rsidP="00CC4708">
      <w:pPr>
        <w:spacing w:after="0" w:line="240" w:lineRule="auto"/>
      </w:pPr>
      <w:r>
        <w:separator/>
      </w:r>
    </w:p>
  </w:footnote>
  <w:footnote w:type="continuationSeparator" w:id="0">
    <w:p w14:paraId="26EEDFF4" w14:textId="77777777" w:rsidR="00C81BF7" w:rsidRDefault="00C81BF7" w:rsidP="00CC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42290"/>
      <w:docPartObj>
        <w:docPartGallery w:val="Watermarks"/>
        <w:docPartUnique/>
      </w:docPartObj>
    </w:sdtPr>
    <w:sdtEndPr/>
    <w:sdtContent>
      <w:p w14:paraId="742E5FF8" w14:textId="77777777" w:rsidR="00010E4B" w:rsidRDefault="00C81BF7">
        <w:pPr>
          <w:pStyle w:val="Header"/>
        </w:pPr>
        <w:r>
          <w:rPr>
            <w:noProof/>
            <w:lang w:val="en-US" w:eastAsia="zh-TW"/>
          </w:rPr>
          <w:pict w14:anchorId="4A42C7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2C"/>
    <w:multiLevelType w:val="multilevel"/>
    <w:tmpl w:val="BC964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F07B64"/>
    <w:multiLevelType w:val="hybridMultilevel"/>
    <w:tmpl w:val="F2CE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643"/>
    <w:multiLevelType w:val="hybridMultilevel"/>
    <w:tmpl w:val="746A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5322"/>
    <w:multiLevelType w:val="multilevel"/>
    <w:tmpl w:val="033C8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7485646"/>
    <w:multiLevelType w:val="hybridMultilevel"/>
    <w:tmpl w:val="0BB09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0CD9"/>
    <w:multiLevelType w:val="hybridMultilevel"/>
    <w:tmpl w:val="8BF6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56D92"/>
    <w:multiLevelType w:val="hybridMultilevel"/>
    <w:tmpl w:val="A72C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9430D"/>
    <w:multiLevelType w:val="hybridMultilevel"/>
    <w:tmpl w:val="00FA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43BFA"/>
    <w:multiLevelType w:val="hybridMultilevel"/>
    <w:tmpl w:val="5156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9315B"/>
    <w:multiLevelType w:val="hybridMultilevel"/>
    <w:tmpl w:val="0F24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B03F3"/>
    <w:multiLevelType w:val="hybridMultilevel"/>
    <w:tmpl w:val="6E1A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77940"/>
    <w:multiLevelType w:val="hybridMultilevel"/>
    <w:tmpl w:val="75C68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F74B3"/>
    <w:multiLevelType w:val="hybridMultilevel"/>
    <w:tmpl w:val="B01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622E8"/>
    <w:multiLevelType w:val="hybridMultilevel"/>
    <w:tmpl w:val="D440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923E8"/>
    <w:multiLevelType w:val="hybridMultilevel"/>
    <w:tmpl w:val="62720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A419C"/>
    <w:multiLevelType w:val="hybridMultilevel"/>
    <w:tmpl w:val="6628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52148"/>
    <w:multiLevelType w:val="hybridMultilevel"/>
    <w:tmpl w:val="FC260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61D20"/>
    <w:multiLevelType w:val="hybridMultilevel"/>
    <w:tmpl w:val="D16C9E16"/>
    <w:lvl w:ilvl="0" w:tplc="55283E96">
      <w:start w:val="1"/>
      <w:numFmt w:val="lowerLetter"/>
      <w:lvlText w:val="%1)"/>
      <w:lvlJc w:val="left"/>
      <w:pPr>
        <w:ind w:left="3240" w:hanging="360"/>
      </w:pPr>
      <w:rPr>
        <w:rFonts w:ascii="Tahoma" w:eastAsia="Times New Roman" w:hAnsi="Tahoma" w:cs="Times New Roman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776040C"/>
    <w:multiLevelType w:val="hybridMultilevel"/>
    <w:tmpl w:val="D1D4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C0724"/>
    <w:multiLevelType w:val="hybridMultilevel"/>
    <w:tmpl w:val="3CAE640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9AF4E06"/>
    <w:multiLevelType w:val="hybridMultilevel"/>
    <w:tmpl w:val="0F0E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C54AB"/>
    <w:multiLevelType w:val="hybridMultilevel"/>
    <w:tmpl w:val="C3B6D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F3871"/>
    <w:multiLevelType w:val="hybridMultilevel"/>
    <w:tmpl w:val="E652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70A52"/>
    <w:multiLevelType w:val="hybridMultilevel"/>
    <w:tmpl w:val="2AEE3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8C4782"/>
    <w:multiLevelType w:val="hybridMultilevel"/>
    <w:tmpl w:val="FB12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77B15"/>
    <w:multiLevelType w:val="multilevel"/>
    <w:tmpl w:val="63EA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B43B8B"/>
    <w:multiLevelType w:val="hybridMultilevel"/>
    <w:tmpl w:val="1814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3614E"/>
    <w:multiLevelType w:val="hybridMultilevel"/>
    <w:tmpl w:val="64FC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6"/>
  </w:num>
  <w:num w:numId="5">
    <w:abstractNumId w:val="25"/>
  </w:num>
  <w:num w:numId="6">
    <w:abstractNumId w:val="1"/>
  </w:num>
  <w:num w:numId="7">
    <w:abstractNumId w:val="3"/>
  </w:num>
  <w:num w:numId="8">
    <w:abstractNumId w:val="20"/>
  </w:num>
  <w:num w:numId="9">
    <w:abstractNumId w:val="5"/>
  </w:num>
  <w:num w:numId="10">
    <w:abstractNumId w:val="26"/>
  </w:num>
  <w:num w:numId="11">
    <w:abstractNumId w:val="22"/>
  </w:num>
  <w:num w:numId="12">
    <w:abstractNumId w:val="6"/>
  </w:num>
  <w:num w:numId="13">
    <w:abstractNumId w:val="9"/>
  </w:num>
  <w:num w:numId="14">
    <w:abstractNumId w:val="15"/>
  </w:num>
  <w:num w:numId="15">
    <w:abstractNumId w:val="0"/>
  </w:num>
  <w:num w:numId="16">
    <w:abstractNumId w:val="12"/>
  </w:num>
  <w:num w:numId="17">
    <w:abstractNumId w:val="27"/>
  </w:num>
  <w:num w:numId="18">
    <w:abstractNumId w:val="10"/>
  </w:num>
  <w:num w:numId="19">
    <w:abstractNumId w:val="13"/>
  </w:num>
  <w:num w:numId="20">
    <w:abstractNumId w:val="17"/>
  </w:num>
  <w:num w:numId="21">
    <w:abstractNumId w:val="11"/>
  </w:num>
  <w:num w:numId="22">
    <w:abstractNumId w:val="19"/>
  </w:num>
  <w:num w:numId="23">
    <w:abstractNumId w:val="24"/>
  </w:num>
  <w:num w:numId="24">
    <w:abstractNumId w:val="8"/>
  </w:num>
  <w:num w:numId="25">
    <w:abstractNumId w:val="21"/>
  </w:num>
  <w:num w:numId="26">
    <w:abstractNumId w:val="18"/>
  </w:num>
  <w:num w:numId="27">
    <w:abstractNumId w:val="4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mes Wesley">
    <w15:presenceInfo w15:providerId="Windows Live" w15:userId="12d4453fbab11d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7"/>
    <w:rsid w:val="00010E4B"/>
    <w:rsid w:val="0002188B"/>
    <w:rsid w:val="000235C1"/>
    <w:rsid w:val="000359C8"/>
    <w:rsid w:val="0009641D"/>
    <w:rsid w:val="000B6C43"/>
    <w:rsid w:val="000C0A9A"/>
    <w:rsid w:val="000C21CB"/>
    <w:rsid w:val="000E7052"/>
    <w:rsid w:val="000F5926"/>
    <w:rsid w:val="00102366"/>
    <w:rsid w:val="00140693"/>
    <w:rsid w:val="00154617"/>
    <w:rsid w:val="0016278B"/>
    <w:rsid w:val="001729B3"/>
    <w:rsid w:val="00177AE0"/>
    <w:rsid w:val="0018119E"/>
    <w:rsid w:val="00193574"/>
    <w:rsid w:val="00196FBD"/>
    <w:rsid w:val="001A29B9"/>
    <w:rsid w:val="001C4D90"/>
    <w:rsid w:val="001F12F7"/>
    <w:rsid w:val="002021B1"/>
    <w:rsid w:val="00227E6A"/>
    <w:rsid w:val="00234952"/>
    <w:rsid w:val="002762EC"/>
    <w:rsid w:val="00282837"/>
    <w:rsid w:val="002855E5"/>
    <w:rsid w:val="002D57C6"/>
    <w:rsid w:val="002E06E8"/>
    <w:rsid w:val="00330C15"/>
    <w:rsid w:val="00351656"/>
    <w:rsid w:val="0038671F"/>
    <w:rsid w:val="003B3BD9"/>
    <w:rsid w:val="00401241"/>
    <w:rsid w:val="004013F7"/>
    <w:rsid w:val="004204B8"/>
    <w:rsid w:val="004446AA"/>
    <w:rsid w:val="00446FB3"/>
    <w:rsid w:val="00463A99"/>
    <w:rsid w:val="004850AC"/>
    <w:rsid w:val="004C3817"/>
    <w:rsid w:val="004D2BB3"/>
    <w:rsid w:val="004D7172"/>
    <w:rsid w:val="004F18B4"/>
    <w:rsid w:val="00527C75"/>
    <w:rsid w:val="00631614"/>
    <w:rsid w:val="00645D03"/>
    <w:rsid w:val="00653BDD"/>
    <w:rsid w:val="00670612"/>
    <w:rsid w:val="006B153D"/>
    <w:rsid w:val="00765222"/>
    <w:rsid w:val="007A180D"/>
    <w:rsid w:val="00805637"/>
    <w:rsid w:val="00807CEB"/>
    <w:rsid w:val="00843292"/>
    <w:rsid w:val="008557DF"/>
    <w:rsid w:val="008B7E86"/>
    <w:rsid w:val="008F4E7D"/>
    <w:rsid w:val="008F6A1B"/>
    <w:rsid w:val="00907C4F"/>
    <w:rsid w:val="00930771"/>
    <w:rsid w:val="00941B3E"/>
    <w:rsid w:val="00987992"/>
    <w:rsid w:val="009A3476"/>
    <w:rsid w:val="009B1BB4"/>
    <w:rsid w:val="009F3DB3"/>
    <w:rsid w:val="00A52684"/>
    <w:rsid w:val="00AB7CAF"/>
    <w:rsid w:val="00AC1AFD"/>
    <w:rsid w:val="00B021BF"/>
    <w:rsid w:val="00B361AF"/>
    <w:rsid w:val="00B36CF8"/>
    <w:rsid w:val="00B641D9"/>
    <w:rsid w:val="00B7107A"/>
    <w:rsid w:val="00B7356E"/>
    <w:rsid w:val="00B910F7"/>
    <w:rsid w:val="00BC249E"/>
    <w:rsid w:val="00BD00E1"/>
    <w:rsid w:val="00BE003B"/>
    <w:rsid w:val="00BE36D6"/>
    <w:rsid w:val="00C1198A"/>
    <w:rsid w:val="00C3178C"/>
    <w:rsid w:val="00C5137A"/>
    <w:rsid w:val="00C81BF7"/>
    <w:rsid w:val="00C846E0"/>
    <w:rsid w:val="00CA5E8A"/>
    <w:rsid w:val="00CB23DA"/>
    <w:rsid w:val="00CC4708"/>
    <w:rsid w:val="00D25DD5"/>
    <w:rsid w:val="00D31C52"/>
    <w:rsid w:val="00D51896"/>
    <w:rsid w:val="00D653F6"/>
    <w:rsid w:val="00D67B72"/>
    <w:rsid w:val="00D80096"/>
    <w:rsid w:val="00DC43BB"/>
    <w:rsid w:val="00E0475D"/>
    <w:rsid w:val="00EB29B0"/>
    <w:rsid w:val="00F43139"/>
    <w:rsid w:val="00F453A7"/>
    <w:rsid w:val="00F56F17"/>
    <w:rsid w:val="00F82939"/>
    <w:rsid w:val="00F84E73"/>
    <w:rsid w:val="00FB71FA"/>
    <w:rsid w:val="00FC75B7"/>
    <w:rsid w:val="00FE3802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87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08"/>
  </w:style>
  <w:style w:type="paragraph" w:styleId="Footer">
    <w:name w:val="footer"/>
    <w:basedOn w:val="Normal"/>
    <w:link w:val="FooterChar"/>
    <w:uiPriority w:val="99"/>
    <w:unhideWhenUsed/>
    <w:rsid w:val="00CC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08"/>
  </w:style>
  <w:style w:type="paragraph" w:styleId="PlainText">
    <w:name w:val="Plain Text"/>
    <w:basedOn w:val="Normal"/>
    <w:link w:val="PlainTextChar"/>
    <w:uiPriority w:val="99"/>
    <w:semiHidden/>
    <w:unhideWhenUsed/>
    <w:rsid w:val="00FE66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BC"/>
    <w:rPr>
      <w:rFonts w:ascii="Calibri" w:hAnsi="Calibri"/>
      <w:szCs w:val="21"/>
    </w:rPr>
  </w:style>
  <w:style w:type="paragraph" w:styleId="NoSpacing">
    <w:name w:val="No Spacing"/>
    <w:uiPriority w:val="1"/>
    <w:qFormat/>
    <w:rsid w:val="00E04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08"/>
  </w:style>
  <w:style w:type="paragraph" w:styleId="Footer">
    <w:name w:val="footer"/>
    <w:basedOn w:val="Normal"/>
    <w:link w:val="FooterChar"/>
    <w:uiPriority w:val="99"/>
    <w:unhideWhenUsed/>
    <w:rsid w:val="00CC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08"/>
  </w:style>
  <w:style w:type="paragraph" w:styleId="PlainText">
    <w:name w:val="Plain Text"/>
    <w:basedOn w:val="Normal"/>
    <w:link w:val="PlainTextChar"/>
    <w:uiPriority w:val="99"/>
    <w:semiHidden/>
    <w:unhideWhenUsed/>
    <w:rsid w:val="00FE66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66BC"/>
    <w:rPr>
      <w:rFonts w:ascii="Calibri" w:hAnsi="Calibri"/>
      <w:szCs w:val="21"/>
    </w:rPr>
  </w:style>
  <w:style w:type="paragraph" w:styleId="NoSpacing">
    <w:name w:val="No Spacing"/>
    <w:uiPriority w:val="1"/>
    <w:qFormat/>
    <w:rsid w:val="00E04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9C31-F964-4155-A988-B2F7FAC2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45EAB325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Seckford Foundation Free Schools Trust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Barrow</dc:creator>
  <cp:lastModifiedBy>Mark Barrow</cp:lastModifiedBy>
  <cp:revision>2</cp:revision>
  <cp:lastPrinted>2020-07-22T13:04:00Z</cp:lastPrinted>
  <dcterms:created xsi:type="dcterms:W3CDTF">2020-08-20T11:41:00Z</dcterms:created>
  <dcterms:modified xsi:type="dcterms:W3CDTF">2020-08-20T11:41:00Z</dcterms:modified>
</cp:coreProperties>
</file>